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45" w:rsidRDefault="00EA6C04">
      <w:pPr>
        <w:rPr>
          <w:b/>
        </w:rPr>
      </w:pPr>
      <w:r>
        <w:rPr>
          <w:b/>
        </w:rPr>
        <w:t>Pension Fund Committee</w:t>
      </w:r>
    </w:p>
    <w:p w:rsidR="003E6A45" w:rsidRDefault="003E6A45">
      <w:r>
        <w:t xml:space="preserve">Meeting to be held on </w:t>
      </w:r>
      <w:r w:rsidR="00EA6C04">
        <w:t>22 March 2013</w:t>
      </w:r>
    </w:p>
    <w:p w:rsidR="003E6A45" w:rsidRDefault="003E6A45"/>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tblGrid>
      <w:tr w:rsidR="003E6A45">
        <w:tc>
          <w:tcPr>
            <w:tcW w:w="3260" w:type="dxa"/>
          </w:tcPr>
          <w:p w:rsidR="003E6A45" w:rsidRDefault="003E6A45">
            <w:pPr>
              <w:pStyle w:val="BodyText"/>
            </w:pPr>
            <w:r>
              <w:t>Electoral Division affected:</w:t>
            </w:r>
          </w:p>
          <w:p w:rsidR="003E6A45" w:rsidRDefault="00142E28" w:rsidP="00142E28">
            <w:pPr>
              <w:rPr>
                <w:u w:val="single"/>
              </w:rPr>
            </w:pPr>
            <w:r>
              <w:t>All</w:t>
            </w:r>
          </w:p>
        </w:tc>
      </w:tr>
    </w:tbl>
    <w:p w:rsidR="003E6A45" w:rsidRDefault="003E6A45">
      <w:pPr>
        <w:rPr>
          <w:u w:val="single"/>
        </w:rPr>
      </w:pPr>
    </w:p>
    <w:p w:rsidR="003E6A45" w:rsidRDefault="00EA6C04">
      <w:pPr>
        <w:rPr>
          <w:b/>
        </w:rPr>
      </w:pPr>
      <w:r>
        <w:rPr>
          <w:b/>
        </w:rPr>
        <w:t>Fiduciary duties and ethical investment</w:t>
      </w:r>
    </w:p>
    <w:p w:rsidR="003E6A45" w:rsidRDefault="00EA6C04">
      <w:pPr>
        <w:ind w:left="709" w:hanging="709"/>
      </w:pPr>
      <w:r>
        <w:t>(Appendix 'A' refers)</w:t>
      </w:r>
    </w:p>
    <w:p w:rsidR="003E6A45" w:rsidRDefault="003E6A45">
      <w:pPr>
        <w:ind w:left="709" w:hanging="709"/>
        <w:rPr>
          <w:b/>
        </w:rPr>
      </w:pPr>
    </w:p>
    <w:p w:rsidR="003E6A45" w:rsidRDefault="003E6A45">
      <w:r>
        <w:t>Contact for further information:</w:t>
      </w:r>
    </w:p>
    <w:p w:rsidR="003E6A45" w:rsidRDefault="00EA6C04">
      <w:r>
        <w:t>George Graham</w:t>
      </w:r>
      <w:r w:rsidR="003E6A45">
        <w:t xml:space="preserve">, </w:t>
      </w:r>
      <w:r>
        <w:t>(01772) 53810</w:t>
      </w:r>
      <w:r w:rsidR="008431AE">
        <w:t>2, County Treasurer's Directorate</w:t>
      </w:r>
    </w:p>
    <w:p w:rsidR="00772BBA" w:rsidRDefault="00F9624E">
      <w:hyperlink r:id="rId6" w:history="1">
        <w:r w:rsidRPr="00B91AC6">
          <w:rPr>
            <w:rStyle w:val="Hyperlink"/>
          </w:rPr>
          <w:t>George.graham@lancashire.gov.uk</w:t>
        </w:r>
      </w:hyperlink>
    </w:p>
    <w:p w:rsidR="003E6A45" w:rsidRDefault="003E6A4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3E6A45">
        <w:tc>
          <w:tcPr>
            <w:tcW w:w="9180" w:type="dxa"/>
          </w:tcPr>
          <w:p w:rsidR="003E6A45" w:rsidRDefault="003E6A45">
            <w:pPr>
              <w:pStyle w:val="Header"/>
            </w:pPr>
          </w:p>
          <w:p w:rsidR="003E6A45" w:rsidRDefault="003E6A45">
            <w:pPr>
              <w:pStyle w:val="Heading6"/>
              <w:rPr>
                <w:rFonts w:ascii="Arial" w:hAnsi="Arial"/>
              </w:rPr>
            </w:pPr>
            <w:r>
              <w:rPr>
                <w:rFonts w:ascii="Arial" w:hAnsi="Arial"/>
              </w:rPr>
              <w:t>Executive Summary</w:t>
            </w:r>
          </w:p>
          <w:p w:rsidR="003E6A45" w:rsidRDefault="003E6A45"/>
          <w:p w:rsidR="003E6A45" w:rsidRDefault="00EA6C04">
            <w:r>
              <w:rPr>
                <w:szCs w:val="24"/>
              </w:rPr>
              <w:t>At the request of the Pension Fund Committee, this report sets out the position regarding the Fund's fiduciary duties with regard to ethical investment considerations</w:t>
            </w:r>
            <w:r w:rsidR="00BD62A5">
              <w:rPr>
                <w:szCs w:val="24"/>
              </w:rPr>
              <w:t>.</w:t>
            </w:r>
          </w:p>
          <w:p w:rsidR="003E6A45" w:rsidRDefault="003E6A45"/>
          <w:p w:rsidR="003E6A45" w:rsidRDefault="003E6A45">
            <w:pPr>
              <w:pStyle w:val="Heading5"/>
              <w:rPr>
                <w:rFonts w:ascii="Arial" w:hAnsi="Arial"/>
                <w:b w:val="0"/>
                <w:u w:val="none"/>
              </w:rPr>
            </w:pPr>
            <w:r>
              <w:rPr>
                <w:rFonts w:ascii="Arial" w:hAnsi="Arial"/>
                <w:u w:val="none"/>
              </w:rPr>
              <w:t>Recommendation</w:t>
            </w:r>
          </w:p>
          <w:p w:rsidR="003E6A45" w:rsidRDefault="003E6A45"/>
          <w:p w:rsidR="003E6A45" w:rsidRDefault="00EA6C04">
            <w:r>
              <w:t>The Committee is asked to note the report.</w:t>
            </w:r>
          </w:p>
          <w:p w:rsidR="003E6A45" w:rsidRDefault="003E6A45"/>
        </w:tc>
      </w:tr>
    </w:tbl>
    <w:p w:rsidR="003E6A45" w:rsidRDefault="003E6A45">
      <w:pPr>
        <w:pStyle w:val="Header"/>
      </w:pPr>
    </w:p>
    <w:p w:rsidR="00772BBA" w:rsidRDefault="00772BBA" w:rsidP="00772BBA">
      <w:pPr>
        <w:rPr>
          <w:b/>
        </w:rPr>
      </w:pPr>
      <w:r>
        <w:rPr>
          <w:b/>
        </w:rPr>
        <w:t xml:space="preserve">Background and Advice </w:t>
      </w:r>
    </w:p>
    <w:p w:rsidR="00772BBA" w:rsidRDefault="00772BBA" w:rsidP="00772BBA">
      <w:pPr>
        <w:rPr>
          <w:b/>
        </w:rPr>
      </w:pPr>
    </w:p>
    <w:p w:rsidR="008F1350" w:rsidRDefault="008F1350" w:rsidP="008F1350">
      <w:pPr>
        <w:rPr>
          <w:szCs w:val="24"/>
        </w:rPr>
      </w:pPr>
      <w:r>
        <w:rPr>
          <w:szCs w:val="24"/>
        </w:rPr>
        <w:t>The previous meeting of the Pension Fund Committee on 30 November 2012 requested that a report setting out the Fund's fiduciary duties with regard to ethical investment considerations be brought to a future meeting.</w:t>
      </w:r>
    </w:p>
    <w:p w:rsidR="008F1350" w:rsidRDefault="008F1350" w:rsidP="008F1350">
      <w:pPr>
        <w:rPr>
          <w:szCs w:val="24"/>
        </w:rPr>
      </w:pPr>
    </w:p>
    <w:p w:rsidR="008F1350" w:rsidRDefault="008F1350" w:rsidP="008F1350">
      <w:pPr>
        <w:rPr>
          <w:szCs w:val="24"/>
        </w:rPr>
      </w:pPr>
      <w:r>
        <w:rPr>
          <w:szCs w:val="24"/>
        </w:rPr>
        <w:t>In particular, Members of the Committee had previously noted that the Australian superannuation fund, First State Super, had announced a decision to divest from tobacco investments. In doing so, Members were reminded of the overriding duty on the Fund to 'maximise returns for its beneficiaries'.</w:t>
      </w:r>
    </w:p>
    <w:p w:rsidR="008F1350" w:rsidRDefault="008F1350" w:rsidP="008F1350">
      <w:pPr>
        <w:rPr>
          <w:szCs w:val="24"/>
        </w:rPr>
      </w:pPr>
    </w:p>
    <w:p w:rsidR="008F1350" w:rsidRDefault="008F1350" w:rsidP="008F1350">
      <w:pPr>
        <w:rPr>
          <w:szCs w:val="24"/>
        </w:rPr>
      </w:pPr>
      <w:r>
        <w:rPr>
          <w:szCs w:val="24"/>
        </w:rPr>
        <w:t>The imminent transfer of public health responsibilities to the County Council from April 2013 has also raised the profile of such investments by the Pension Fund.</w:t>
      </w:r>
    </w:p>
    <w:p w:rsidR="008F1350" w:rsidRDefault="008F1350" w:rsidP="008F1350">
      <w:pPr>
        <w:rPr>
          <w:szCs w:val="24"/>
        </w:rPr>
      </w:pPr>
    </w:p>
    <w:p w:rsidR="008F1350" w:rsidRDefault="005B2AD0" w:rsidP="008F1350">
      <w:pPr>
        <w:rPr>
          <w:szCs w:val="24"/>
        </w:rPr>
      </w:pPr>
      <w:r>
        <w:rPr>
          <w:szCs w:val="24"/>
        </w:rPr>
        <w:t xml:space="preserve">Appendix A sets out the meaning of fiduciary duties pertaining to the Fund, relevant case law, relevant research, and regulatory duties. With specific regard to investments in tobacco related interests, and in light of the impending transfer of public health responsibilities to the County Council from April 2013, the report explains how these two seemingly conflicting positions may be reconciled through the maintenance of appropriate separation of duty in carrying out </w:t>
      </w:r>
      <w:r w:rsidR="00B42C69">
        <w:rPr>
          <w:szCs w:val="24"/>
        </w:rPr>
        <w:t xml:space="preserve">these </w:t>
      </w:r>
      <w:r>
        <w:rPr>
          <w:szCs w:val="24"/>
        </w:rPr>
        <w:t>particular responsibilities.</w:t>
      </w:r>
    </w:p>
    <w:p w:rsidR="00772BBA" w:rsidRDefault="00772BBA" w:rsidP="00772BBA"/>
    <w:p w:rsidR="003E6A45" w:rsidRDefault="003E6A45">
      <w:pPr>
        <w:pStyle w:val="Heading1"/>
      </w:pPr>
      <w:r>
        <w:t>Consultations</w:t>
      </w:r>
    </w:p>
    <w:p w:rsidR="003E6A45" w:rsidRDefault="003E6A45">
      <w:pPr>
        <w:pStyle w:val="Header"/>
      </w:pPr>
    </w:p>
    <w:p w:rsidR="003E6A45" w:rsidRDefault="00EA6C04">
      <w:r>
        <w:lastRenderedPageBreak/>
        <w:t>N/A</w:t>
      </w:r>
    </w:p>
    <w:p w:rsidR="003E6A45" w:rsidRDefault="003E6A45"/>
    <w:p w:rsidR="00772BBA" w:rsidRDefault="003E6A45" w:rsidP="00772BBA">
      <w:r>
        <w:rPr>
          <w:b/>
        </w:rPr>
        <w:t>Implications</w:t>
      </w:r>
      <w:r>
        <w:t xml:space="preserve">: </w:t>
      </w:r>
    </w:p>
    <w:p w:rsidR="00772BBA" w:rsidRDefault="00772BBA" w:rsidP="00772BBA"/>
    <w:p w:rsidR="009B61F1" w:rsidRDefault="00EA6C04" w:rsidP="00772BBA">
      <w:r>
        <w:t>N/A</w:t>
      </w:r>
    </w:p>
    <w:p w:rsidR="00EA6C04" w:rsidRDefault="00EA6C04" w:rsidP="00772BBA">
      <w:pPr>
        <w:rPr>
          <w:b/>
        </w:rPr>
      </w:pPr>
    </w:p>
    <w:p w:rsidR="00772BBA" w:rsidRPr="00092B2F" w:rsidRDefault="00772BBA" w:rsidP="00772BBA">
      <w:pPr>
        <w:rPr>
          <w:b/>
        </w:rPr>
      </w:pPr>
      <w:r w:rsidRPr="00092B2F">
        <w:rPr>
          <w:b/>
        </w:rPr>
        <w:t>Risk management</w:t>
      </w:r>
    </w:p>
    <w:p w:rsidR="00772BBA" w:rsidRDefault="00772BBA" w:rsidP="00772BBA"/>
    <w:p w:rsidR="00772BBA" w:rsidRPr="007B5200" w:rsidRDefault="00EA6C04" w:rsidP="00772BBA">
      <w:r>
        <w:t>N/A</w:t>
      </w:r>
      <w:r w:rsidRPr="007B5200">
        <w:t xml:space="preserve"> </w:t>
      </w:r>
    </w:p>
    <w:p w:rsidR="003E6A45" w:rsidRDefault="003E6A45">
      <w:pPr>
        <w:pStyle w:val="Heading5"/>
        <w:rPr>
          <w:rFonts w:ascii="Arial" w:hAnsi="Arial"/>
        </w:rPr>
      </w:pPr>
    </w:p>
    <w:p w:rsidR="003E6A45" w:rsidRDefault="003E6A45">
      <w:pPr>
        <w:pStyle w:val="Heading5"/>
        <w:rPr>
          <w:rFonts w:ascii="Arial" w:hAnsi="Arial"/>
          <w:u w:val="none"/>
        </w:rPr>
      </w:pPr>
      <w:r>
        <w:rPr>
          <w:rFonts w:ascii="Arial" w:hAnsi="Arial"/>
          <w:u w:val="none"/>
        </w:rPr>
        <w:t>Local Government (Access to Information) Act 1985</w:t>
      </w:r>
    </w:p>
    <w:p w:rsidR="003E6A45" w:rsidRDefault="003E6A45">
      <w:pPr>
        <w:pStyle w:val="Heading5"/>
        <w:rPr>
          <w:rFonts w:ascii="Arial" w:hAnsi="Arial"/>
          <w:u w:val="none"/>
        </w:rPr>
      </w:pPr>
      <w:r>
        <w:rPr>
          <w:rFonts w:ascii="Arial" w:hAnsi="Arial"/>
          <w:u w:val="none"/>
        </w:rPr>
        <w:t>List of Background Papers</w:t>
      </w:r>
    </w:p>
    <w:p w:rsidR="003E6A45" w:rsidRDefault="003E6A45"/>
    <w:tbl>
      <w:tblPr>
        <w:tblW w:w="0" w:type="auto"/>
        <w:tblLayout w:type="fixed"/>
        <w:tblLook w:val="000C"/>
      </w:tblPr>
      <w:tblGrid>
        <w:gridCol w:w="3227"/>
        <w:gridCol w:w="2775"/>
        <w:gridCol w:w="3178"/>
      </w:tblGrid>
      <w:tr w:rsidR="003E6A45">
        <w:tc>
          <w:tcPr>
            <w:tcW w:w="3227" w:type="dxa"/>
          </w:tcPr>
          <w:p w:rsidR="003E6A45" w:rsidRDefault="003E6A45">
            <w:pPr>
              <w:pStyle w:val="Heading7"/>
              <w:rPr>
                <w:rFonts w:ascii="Arial" w:hAnsi="Arial"/>
                <w:u w:val="none"/>
              </w:rPr>
            </w:pPr>
            <w:r>
              <w:rPr>
                <w:rFonts w:ascii="Arial" w:hAnsi="Arial"/>
                <w:u w:val="none"/>
              </w:rPr>
              <w:t>Paper</w:t>
            </w:r>
          </w:p>
        </w:tc>
        <w:tc>
          <w:tcPr>
            <w:tcW w:w="2775" w:type="dxa"/>
          </w:tcPr>
          <w:p w:rsidR="003E6A45" w:rsidRDefault="003E6A45">
            <w:pPr>
              <w:pStyle w:val="Heading7"/>
              <w:rPr>
                <w:rFonts w:ascii="Arial" w:hAnsi="Arial"/>
                <w:u w:val="none"/>
              </w:rPr>
            </w:pPr>
            <w:r>
              <w:rPr>
                <w:rFonts w:ascii="Arial" w:hAnsi="Arial"/>
                <w:u w:val="none"/>
              </w:rPr>
              <w:t>Date</w:t>
            </w:r>
          </w:p>
        </w:tc>
        <w:tc>
          <w:tcPr>
            <w:tcW w:w="3178" w:type="dxa"/>
          </w:tcPr>
          <w:p w:rsidR="003E6A45" w:rsidRDefault="003E6A45">
            <w:pPr>
              <w:pStyle w:val="Heading7"/>
              <w:rPr>
                <w:rFonts w:ascii="Arial" w:hAnsi="Arial"/>
                <w:u w:val="none"/>
              </w:rPr>
            </w:pPr>
            <w:r>
              <w:rPr>
                <w:rFonts w:ascii="Arial" w:hAnsi="Arial"/>
                <w:u w:val="none"/>
              </w:rPr>
              <w:t>Contact/Directorate/</w:t>
            </w:r>
            <w:r w:rsidR="00772BBA">
              <w:rPr>
                <w:rFonts w:ascii="Arial" w:hAnsi="Arial"/>
                <w:u w:val="none"/>
              </w:rPr>
              <w:t>Tel</w:t>
            </w:r>
          </w:p>
        </w:tc>
      </w:tr>
      <w:tr w:rsidR="003E6A45">
        <w:tc>
          <w:tcPr>
            <w:tcW w:w="3227" w:type="dxa"/>
          </w:tcPr>
          <w:p w:rsidR="003E6A45" w:rsidRDefault="003E6A45">
            <w:pPr>
              <w:pStyle w:val="Heading7"/>
              <w:rPr>
                <w:rFonts w:ascii="Arial" w:hAnsi="Arial"/>
                <w:u w:val="none"/>
              </w:rPr>
            </w:pPr>
          </w:p>
          <w:p w:rsidR="00EA6C04" w:rsidRPr="00E73770" w:rsidRDefault="00EA6C04" w:rsidP="006A47F2">
            <w:pPr>
              <w:pStyle w:val="ListParagraph"/>
              <w:ind w:left="0"/>
              <w:rPr>
                <w:szCs w:val="24"/>
              </w:rPr>
            </w:pPr>
            <w:r w:rsidRPr="00E73770">
              <w:rPr>
                <w:szCs w:val="24"/>
              </w:rPr>
              <w:t xml:space="preserve">Freshfields Bruckhaus Deringer/ UNEP FI Asset Management Working Group, </w:t>
            </w:r>
            <w:r w:rsidRPr="00E73770">
              <w:rPr>
                <w:szCs w:val="24"/>
                <w:u w:val="single"/>
              </w:rPr>
              <w:t>A Legal Framework for the Integration of Environmental, Social and Governance Issues into Institutional Investment</w:t>
            </w:r>
            <w:r w:rsidRPr="00E73770">
              <w:rPr>
                <w:szCs w:val="24"/>
              </w:rPr>
              <w:t xml:space="preserve"> (2005) UNEP FI: Geneva. – commonly referred to as "Freshfields".</w:t>
            </w:r>
          </w:p>
          <w:p w:rsidR="003E6A45" w:rsidRDefault="006A47F2" w:rsidP="006A47F2">
            <w:pPr>
              <w:rPr>
                <w:szCs w:val="24"/>
              </w:rPr>
            </w:pPr>
            <w:r w:rsidRPr="00FC47E3">
              <w:rPr>
                <w:b/>
                <w:szCs w:val="24"/>
              </w:rPr>
              <w:t>The Occupational Pension Schemes (Investment) Regulations 2005</w:t>
            </w:r>
            <w:r w:rsidRPr="00F43372">
              <w:rPr>
                <w:szCs w:val="24"/>
              </w:rPr>
              <w:t xml:space="preserve"> (SI 2005/3378)</w:t>
            </w:r>
          </w:p>
          <w:p w:rsidR="006A47F2" w:rsidRDefault="006A47F2" w:rsidP="006A47F2">
            <w:pPr>
              <w:rPr>
                <w:szCs w:val="24"/>
              </w:rPr>
            </w:pPr>
          </w:p>
          <w:p w:rsidR="006A47F2" w:rsidRDefault="006A47F2" w:rsidP="006A47F2">
            <w:pPr>
              <w:rPr>
                <w:szCs w:val="24"/>
              </w:rPr>
            </w:pPr>
          </w:p>
          <w:p w:rsidR="006A47F2" w:rsidRDefault="006A47F2" w:rsidP="006A47F2">
            <w:r w:rsidRPr="00FC47E3">
              <w:rPr>
                <w:b/>
                <w:szCs w:val="24"/>
              </w:rPr>
              <w:t>The Local Government Pension Scheme (Management and Investment of Funds) Regulations 2009</w:t>
            </w:r>
            <w:r w:rsidRPr="00EA158E">
              <w:rPr>
                <w:szCs w:val="24"/>
              </w:rPr>
              <w:t xml:space="preserve"> (SI</w:t>
            </w:r>
            <w:r>
              <w:rPr>
                <w:szCs w:val="24"/>
              </w:rPr>
              <w:t xml:space="preserve"> </w:t>
            </w:r>
            <w:r w:rsidRPr="00EA158E">
              <w:rPr>
                <w:szCs w:val="24"/>
              </w:rPr>
              <w:t>2009/3093)</w:t>
            </w:r>
          </w:p>
        </w:tc>
        <w:tc>
          <w:tcPr>
            <w:tcW w:w="2775" w:type="dxa"/>
          </w:tcPr>
          <w:p w:rsidR="003E6A45" w:rsidRDefault="003E6A45">
            <w:pPr>
              <w:pStyle w:val="Heading7"/>
              <w:rPr>
                <w:rFonts w:ascii="Arial" w:hAnsi="Arial"/>
                <w:u w:val="none"/>
              </w:rPr>
            </w:pPr>
          </w:p>
          <w:p w:rsidR="003E6A45" w:rsidRDefault="006A47F2">
            <w:r>
              <w:t>2005</w:t>
            </w:r>
          </w:p>
          <w:p w:rsidR="006A47F2" w:rsidRDefault="006A47F2"/>
          <w:p w:rsidR="006A47F2" w:rsidRDefault="006A47F2"/>
          <w:p w:rsidR="006A47F2" w:rsidRDefault="006A47F2"/>
          <w:p w:rsidR="006A47F2" w:rsidRDefault="006A47F2"/>
          <w:p w:rsidR="006A47F2" w:rsidRDefault="006A47F2"/>
          <w:p w:rsidR="006A47F2" w:rsidRDefault="006A47F2"/>
          <w:p w:rsidR="006A47F2" w:rsidRDefault="006A47F2"/>
          <w:p w:rsidR="006A47F2" w:rsidRDefault="006A47F2"/>
          <w:p w:rsidR="006A47F2" w:rsidRDefault="006A47F2"/>
          <w:p w:rsidR="006A47F2" w:rsidRDefault="006A47F2"/>
          <w:p w:rsidR="006A47F2" w:rsidRDefault="006A47F2"/>
          <w:p w:rsidR="006A47F2" w:rsidRDefault="006A47F2"/>
          <w:p w:rsidR="006A47F2" w:rsidRDefault="006A47F2">
            <w:r>
              <w:t>2005</w:t>
            </w:r>
          </w:p>
          <w:p w:rsidR="006A47F2" w:rsidRDefault="006A47F2"/>
          <w:p w:rsidR="006A47F2" w:rsidRDefault="006A47F2"/>
          <w:p w:rsidR="006A47F2" w:rsidRDefault="006A47F2"/>
          <w:p w:rsidR="006A47F2" w:rsidRDefault="006A47F2"/>
          <w:p w:rsidR="006A47F2" w:rsidRDefault="006A47F2"/>
          <w:p w:rsidR="006A47F2" w:rsidRDefault="006A47F2">
            <w:r>
              <w:t>2009</w:t>
            </w:r>
          </w:p>
        </w:tc>
        <w:tc>
          <w:tcPr>
            <w:tcW w:w="3178" w:type="dxa"/>
          </w:tcPr>
          <w:p w:rsidR="003E6A45" w:rsidRDefault="003E6A45"/>
          <w:p w:rsidR="003E6A45" w:rsidRDefault="006A47F2">
            <w:r>
              <w:t>Andrew Fox/ County Treasurer's D</w:t>
            </w:r>
            <w:r w:rsidR="00B0358C">
              <w:t>irectorate</w:t>
            </w:r>
            <w:r>
              <w:t xml:space="preserve"> x35916</w:t>
            </w:r>
          </w:p>
          <w:p w:rsidR="006A47F2" w:rsidRDefault="006A47F2"/>
          <w:p w:rsidR="006A47F2" w:rsidRDefault="006A47F2"/>
          <w:p w:rsidR="006A47F2" w:rsidRDefault="006A47F2"/>
          <w:p w:rsidR="006A47F2" w:rsidRDefault="006A47F2"/>
          <w:p w:rsidR="006A47F2" w:rsidRDefault="006A47F2"/>
          <w:p w:rsidR="006A47F2" w:rsidRDefault="006A47F2"/>
          <w:p w:rsidR="006A47F2" w:rsidRDefault="006A47F2"/>
          <w:p w:rsidR="006A47F2" w:rsidRDefault="006A47F2"/>
          <w:p w:rsidR="006A47F2" w:rsidRDefault="006A47F2"/>
          <w:p w:rsidR="006A47F2" w:rsidRDefault="006A47F2"/>
          <w:p w:rsidR="006A47F2" w:rsidRDefault="006A47F2" w:rsidP="006A47F2">
            <w:r>
              <w:t>Andrew Fox/ County Treasurer's D</w:t>
            </w:r>
            <w:r w:rsidR="00B0358C">
              <w:t>irectorate</w:t>
            </w:r>
            <w:r>
              <w:t xml:space="preserve"> x35916</w:t>
            </w:r>
          </w:p>
          <w:p w:rsidR="003E6A45" w:rsidRDefault="003E6A45"/>
          <w:p w:rsidR="006A47F2" w:rsidRDefault="006A47F2"/>
          <w:p w:rsidR="006A47F2" w:rsidRDefault="006A47F2"/>
          <w:p w:rsidR="006A47F2" w:rsidRDefault="006A47F2" w:rsidP="006A47F2">
            <w:r>
              <w:t>Andrew Fox/ County Treasurer's D</w:t>
            </w:r>
            <w:r w:rsidR="00B0358C">
              <w:t>irectorate</w:t>
            </w:r>
            <w:r>
              <w:t xml:space="preserve"> x35916</w:t>
            </w:r>
          </w:p>
          <w:p w:rsidR="006A47F2" w:rsidRDefault="006A47F2"/>
        </w:tc>
      </w:tr>
      <w:tr w:rsidR="003E6A45">
        <w:tc>
          <w:tcPr>
            <w:tcW w:w="9180" w:type="dxa"/>
            <w:gridSpan w:val="3"/>
          </w:tcPr>
          <w:p w:rsidR="006A47F2" w:rsidRDefault="006A47F2"/>
          <w:p w:rsidR="003E6A45" w:rsidRDefault="003E6A45">
            <w:r>
              <w:t>Reason for inclusion in Part II, if appropriate</w:t>
            </w:r>
          </w:p>
          <w:p w:rsidR="003E6A45" w:rsidRDefault="003E6A45"/>
          <w:p w:rsidR="003E6A45" w:rsidRDefault="00EA6C04">
            <w:r>
              <w:t>N/A</w:t>
            </w:r>
          </w:p>
          <w:p w:rsidR="003E6A45" w:rsidRDefault="003E6A45"/>
        </w:tc>
      </w:tr>
    </w:tbl>
    <w:p w:rsidR="003E6A45" w:rsidRDefault="003E6A45"/>
    <w:sectPr w:rsidR="003E6A45" w:rsidSect="00B64F3D">
      <w:footerReference w:type="default" r:id="rId7"/>
      <w:footerReference w:type="first" r:id="rId8"/>
      <w:type w:val="continuous"/>
      <w:pgSz w:w="11907" w:h="16840" w:code="9"/>
      <w:pgMar w:top="1440" w:right="1440" w:bottom="1440" w:left="1440" w:header="720" w:footer="306"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63A" w:rsidRDefault="00EC463A">
      <w:r>
        <w:separator/>
      </w:r>
    </w:p>
  </w:endnote>
  <w:endnote w:type="continuationSeparator" w:id="0">
    <w:p w:rsidR="00EC463A" w:rsidRDefault="00EC46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8F1350">
      <w:tc>
        <w:tcPr>
          <w:tcW w:w="9243" w:type="dxa"/>
          <w:tcBorders>
            <w:top w:val="nil"/>
            <w:left w:val="nil"/>
            <w:bottom w:val="nil"/>
            <w:right w:val="nil"/>
          </w:tcBorders>
        </w:tcPr>
        <w:p w:rsidR="008F1350" w:rsidRDefault="008F1350">
          <w:pPr>
            <w:pStyle w:val="Footer"/>
            <w:tabs>
              <w:tab w:val="clear" w:pos="4153"/>
            </w:tabs>
            <w:ind w:right="-45"/>
            <w:jc w:val="right"/>
          </w:pPr>
        </w:p>
      </w:tc>
    </w:tr>
  </w:tbl>
  <w:p w:rsidR="008F1350" w:rsidRDefault="008F1350">
    <w:pPr>
      <w:pStyle w:val="Footer"/>
      <w:tabs>
        <w:tab w:val="clear" w:pos="4153"/>
      </w:tabs>
      <w:ind w:right="-4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8F1350">
      <w:tc>
        <w:tcPr>
          <w:tcW w:w="9243" w:type="dxa"/>
          <w:tcBorders>
            <w:top w:val="nil"/>
            <w:left w:val="nil"/>
            <w:bottom w:val="nil"/>
            <w:right w:val="nil"/>
          </w:tcBorders>
        </w:tcPr>
        <w:p w:rsidR="008F1350" w:rsidRDefault="00F9624E">
          <w:pPr>
            <w:pStyle w:val="Footer"/>
            <w:tabs>
              <w:tab w:val="clear" w:pos="4153"/>
            </w:tabs>
            <w:ind w:right="-45"/>
            <w:jc w:val="right"/>
          </w:pPr>
          <w:r>
            <w:rPr>
              <w:noProof/>
            </w:rPr>
            <w:drawing>
              <wp:inline distT="0" distB="0" distL="0" distR="0">
                <wp:extent cx="1257300" cy="628650"/>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8650"/>
                        </a:xfrm>
                        <a:prstGeom prst="rect">
                          <a:avLst/>
                        </a:prstGeom>
                        <a:noFill/>
                        <a:ln w="9525">
                          <a:noFill/>
                          <a:miter lim="800000"/>
                          <a:headEnd/>
                          <a:tailEnd/>
                        </a:ln>
                      </pic:spPr>
                    </pic:pic>
                  </a:graphicData>
                </a:graphic>
              </wp:inline>
            </w:drawing>
          </w:r>
        </w:p>
      </w:tc>
    </w:tr>
  </w:tbl>
  <w:p w:rsidR="008F1350" w:rsidRDefault="008F1350">
    <w:pPr>
      <w:pStyle w:val="Footer"/>
      <w:tabs>
        <w:tab w:val="clear" w:pos="4153"/>
      </w:tabs>
      <w:ind w:right="-4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63A" w:rsidRDefault="00EC463A">
      <w:r>
        <w:separator/>
      </w:r>
    </w:p>
  </w:footnote>
  <w:footnote w:type="continuationSeparator" w:id="0">
    <w:p w:rsidR="00EC463A" w:rsidRDefault="00EC46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rsids>
    <w:rsidRoot w:val="003E6A45"/>
    <w:rsid w:val="00036049"/>
    <w:rsid w:val="000E31C2"/>
    <w:rsid w:val="00142E28"/>
    <w:rsid w:val="0028461B"/>
    <w:rsid w:val="002B11AF"/>
    <w:rsid w:val="00354CAC"/>
    <w:rsid w:val="00357954"/>
    <w:rsid w:val="0038773F"/>
    <w:rsid w:val="003B1BDD"/>
    <w:rsid w:val="003E6A45"/>
    <w:rsid w:val="0044710C"/>
    <w:rsid w:val="00581BB4"/>
    <w:rsid w:val="005B2AD0"/>
    <w:rsid w:val="00621B00"/>
    <w:rsid w:val="006A47F2"/>
    <w:rsid w:val="00772BBA"/>
    <w:rsid w:val="007E7A9F"/>
    <w:rsid w:val="008431AE"/>
    <w:rsid w:val="008A5E88"/>
    <w:rsid w:val="008F1350"/>
    <w:rsid w:val="009B3418"/>
    <w:rsid w:val="009B61F1"/>
    <w:rsid w:val="00A74EAE"/>
    <w:rsid w:val="00AA2267"/>
    <w:rsid w:val="00B0358C"/>
    <w:rsid w:val="00B42C69"/>
    <w:rsid w:val="00B64F3D"/>
    <w:rsid w:val="00B67789"/>
    <w:rsid w:val="00BB08CC"/>
    <w:rsid w:val="00BD62A5"/>
    <w:rsid w:val="00C20DC0"/>
    <w:rsid w:val="00CD5239"/>
    <w:rsid w:val="00E2018E"/>
    <w:rsid w:val="00EA45E5"/>
    <w:rsid w:val="00EA6C04"/>
    <w:rsid w:val="00EC463A"/>
    <w:rsid w:val="00F9624E"/>
    <w:rsid w:val="00FA6E18"/>
    <w:rsid w:val="00FE20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F3D"/>
    <w:rPr>
      <w:rFonts w:ascii="Arial" w:hAnsi="Arial"/>
      <w:sz w:val="24"/>
    </w:rPr>
  </w:style>
  <w:style w:type="paragraph" w:styleId="Heading1">
    <w:name w:val="heading 1"/>
    <w:basedOn w:val="Normal"/>
    <w:next w:val="Normal"/>
    <w:qFormat/>
    <w:rsid w:val="00B64F3D"/>
    <w:pPr>
      <w:keepNext/>
      <w:outlineLvl w:val="0"/>
    </w:pPr>
    <w:rPr>
      <w:b/>
    </w:rPr>
  </w:style>
  <w:style w:type="paragraph" w:styleId="Heading5">
    <w:name w:val="heading 5"/>
    <w:basedOn w:val="Normal"/>
    <w:next w:val="Normal"/>
    <w:qFormat/>
    <w:rsid w:val="00B64F3D"/>
    <w:pPr>
      <w:keepNext/>
      <w:outlineLvl w:val="4"/>
    </w:pPr>
    <w:rPr>
      <w:rFonts w:ascii="Univers" w:hAnsi="Univers"/>
      <w:b/>
      <w:u w:val="single"/>
    </w:rPr>
  </w:style>
  <w:style w:type="paragraph" w:styleId="Heading6">
    <w:name w:val="heading 6"/>
    <w:basedOn w:val="Normal"/>
    <w:next w:val="Normal"/>
    <w:qFormat/>
    <w:rsid w:val="00B64F3D"/>
    <w:pPr>
      <w:keepNext/>
      <w:outlineLvl w:val="5"/>
    </w:pPr>
    <w:rPr>
      <w:rFonts w:ascii="Univers" w:hAnsi="Univers"/>
      <w:b/>
    </w:rPr>
  </w:style>
  <w:style w:type="paragraph" w:styleId="Heading7">
    <w:name w:val="heading 7"/>
    <w:basedOn w:val="Normal"/>
    <w:next w:val="Normal"/>
    <w:qFormat/>
    <w:rsid w:val="00B64F3D"/>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4F3D"/>
  </w:style>
  <w:style w:type="paragraph" w:customStyle="1" w:styleId="arial11">
    <w:name w:val="arial11"/>
    <w:basedOn w:val="Normal"/>
    <w:rsid w:val="00B64F3D"/>
  </w:style>
  <w:style w:type="paragraph" w:styleId="BodyText">
    <w:name w:val="Body Text"/>
    <w:basedOn w:val="Normal"/>
    <w:rsid w:val="00B64F3D"/>
  </w:style>
  <w:style w:type="paragraph" w:styleId="Footer">
    <w:name w:val="footer"/>
    <w:basedOn w:val="Normal"/>
    <w:rsid w:val="00B64F3D"/>
    <w:pPr>
      <w:tabs>
        <w:tab w:val="center" w:pos="4153"/>
        <w:tab w:val="right" w:pos="8306"/>
      </w:tabs>
    </w:pPr>
  </w:style>
  <w:style w:type="character" w:styleId="PageNumber">
    <w:name w:val="page number"/>
    <w:basedOn w:val="DefaultParagraphFont"/>
    <w:rsid w:val="00B64F3D"/>
  </w:style>
  <w:style w:type="paragraph" w:styleId="BalloonText">
    <w:name w:val="Balloon Text"/>
    <w:basedOn w:val="Normal"/>
    <w:semiHidden/>
    <w:rsid w:val="00357954"/>
    <w:rPr>
      <w:rFonts w:ascii="Tahoma" w:hAnsi="Tahoma" w:cs="Tahoma"/>
      <w:sz w:val="16"/>
      <w:szCs w:val="16"/>
    </w:rPr>
  </w:style>
  <w:style w:type="paragraph" w:styleId="ListParagraph">
    <w:name w:val="List Paragraph"/>
    <w:basedOn w:val="Normal"/>
    <w:uiPriority w:val="34"/>
    <w:qFormat/>
    <w:rsid w:val="00EA6C04"/>
    <w:pPr>
      <w:spacing w:after="200" w:line="276" w:lineRule="auto"/>
      <w:ind w:left="720"/>
      <w:contextualSpacing/>
    </w:pPr>
    <w:rPr>
      <w:rFonts w:eastAsiaTheme="minorHAnsi" w:cstheme="minorBidi"/>
      <w:szCs w:val="22"/>
      <w:lang w:eastAsia="en-US"/>
    </w:rPr>
  </w:style>
  <w:style w:type="character" w:styleId="Hyperlink">
    <w:name w:val="Hyperlink"/>
    <w:basedOn w:val="DefaultParagraphFont"/>
    <w:uiPriority w:val="99"/>
    <w:unhideWhenUsed/>
    <w:rsid w:val="00F962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orge.graham@lancashire.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Template>
  <TotalTime>1</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User</cp:lastModifiedBy>
  <cp:revision>2</cp:revision>
  <cp:lastPrinted>2002-09-23T11:55:00Z</cp:lastPrinted>
  <dcterms:created xsi:type="dcterms:W3CDTF">2013-03-11T14:58:00Z</dcterms:created>
  <dcterms:modified xsi:type="dcterms:W3CDTF">2013-03-11T14:58:00Z</dcterms:modified>
</cp:coreProperties>
</file>